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4211" w:rsidRDefault="00654211" w:rsidP="00654211">
      <w:pPr>
        <w:ind w:right="640"/>
        <w:rPr>
          <w:rFonts w:ascii="Times New Roman" w:eastAsia="仿宋" w:hAnsi="Times New Roman"/>
          <w:sz w:val="32"/>
          <w:szCs w:val="32"/>
        </w:rPr>
      </w:pPr>
      <w:r>
        <w:rPr>
          <w:rFonts w:ascii="Times New Roman" w:eastAsia="仿宋" w:hAnsi="Times New Roman"/>
          <w:sz w:val="32"/>
          <w:szCs w:val="32"/>
        </w:rPr>
        <w:t>附件</w:t>
      </w:r>
      <w:r>
        <w:rPr>
          <w:rFonts w:ascii="Times New Roman" w:eastAsia="仿宋" w:hAnsi="Times New Roman" w:hint="eastAsia"/>
          <w:sz w:val="32"/>
          <w:szCs w:val="32"/>
        </w:rPr>
        <w:t>6</w:t>
      </w:r>
      <w:r>
        <w:rPr>
          <w:rFonts w:ascii="Times New Roman" w:eastAsia="仿宋" w:hAnsi="Times New Roman"/>
          <w:sz w:val="32"/>
          <w:szCs w:val="32"/>
        </w:rPr>
        <w:t>：</w:t>
      </w:r>
    </w:p>
    <w:p w:rsidR="00654211" w:rsidRDefault="00654211" w:rsidP="00654211">
      <w:pPr>
        <w:jc w:val="center"/>
        <w:rPr>
          <w:rStyle w:val="longtext1"/>
          <w:rFonts w:ascii="Times New Roman" w:eastAsia="黑体" w:hAnsi="Times New Roman"/>
          <w:color w:val="000000" w:themeColor="text1"/>
          <w:sz w:val="36"/>
          <w:szCs w:val="32"/>
        </w:rPr>
      </w:pPr>
      <w:r>
        <w:rPr>
          <w:rStyle w:val="longtext1"/>
          <w:rFonts w:ascii="Times New Roman" w:eastAsia="黑体" w:hAnsi="Times New Roman" w:hint="eastAsia"/>
          <w:color w:val="000000" w:themeColor="text1"/>
          <w:sz w:val="36"/>
          <w:szCs w:val="32"/>
        </w:rPr>
        <w:t>2022</w:t>
      </w:r>
      <w:r>
        <w:rPr>
          <w:rStyle w:val="longtext1"/>
          <w:rFonts w:ascii="Times New Roman" w:eastAsia="黑体" w:hAnsi="Times New Roman" w:hint="eastAsia"/>
          <w:color w:val="000000" w:themeColor="text1"/>
          <w:sz w:val="36"/>
          <w:szCs w:val="32"/>
        </w:rPr>
        <w:t>年数据安全能力提供标杆企业研究企业填报表</w:t>
      </w:r>
    </w:p>
    <w:p w:rsidR="00654211" w:rsidRDefault="00654211" w:rsidP="00654211">
      <w:pPr>
        <w:jc w:val="center"/>
        <w:rPr>
          <w:rStyle w:val="longtext1"/>
          <w:rFonts w:ascii="Times New Roman" w:eastAsia="黑体" w:hAnsi="Times New Roman"/>
          <w:color w:val="000000" w:themeColor="text1"/>
          <w:sz w:val="36"/>
          <w:szCs w:val="32"/>
        </w:rPr>
      </w:pPr>
      <w:r>
        <w:rPr>
          <w:rStyle w:val="longtext1"/>
          <w:rFonts w:ascii="Times New Roman" w:eastAsia="黑体" w:hAnsi="Times New Roman"/>
          <w:color w:val="000000" w:themeColor="text1"/>
          <w:sz w:val="36"/>
          <w:szCs w:val="32"/>
        </w:rPr>
        <w:t>填</w:t>
      </w:r>
      <w:r>
        <w:rPr>
          <w:rStyle w:val="longtext1"/>
          <w:rFonts w:ascii="Times New Roman" w:eastAsia="黑体" w:hAnsi="Times New Roman" w:hint="eastAsia"/>
          <w:color w:val="000000" w:themeColor="text1"/>
          <w:sz w:val="36"/>
          <w:szCs w:val="32"/>
        </w:rPr>
        <w:t>写</w:t>
      </w:r>
      <w:r>
        <w:rPr>
          <w:rStyle w:val="longtext1"/>
          <w:rFonts w:ascii="Times New Roman" w:eastAsia="黑体" w:hAnsi="Times New Roman"/>
          <w:color w:val="000000" w:themeColor="text1"/>
          <w:sz w:val="36"/>
          <w:szCs w:val="32"/>
        </w:rPr>
        <w:t>说明</w:t>
      </w:r>
    </w:p>
    <w:p w:rsidR="00654211" w:rsidRDefault="00654211" w:rsidP="00654211">
      <w:pPr>
        <w:jc w:val="center"/>
        <w:rPr>
          <w:rFonts w:ascii="Times New Roman" w:eastAsia="黑体" w:hAnsi="Times New Roman"/>
          <w:color w:val="000000" w:themeColor="text1"/>
          <w:sz w:val="32"/>
          <w:szCs w:val="32"/>
        </w:rPr>
      </w:pPr>
    </w:p>
    <w:p w:rsidR="00654211" w:rsidRDefault="00654211" w:rsidP="00654211">
      <w:pPr>
        <w:numPr>
          <w:ilvl w:val="0"/>
          <w:numId w:val="1"/>
        </w:numPr>
        <w:spacing w:line="560" w:lineRule="exact"/>
        <w:ind w:firstLineChars="200" w:firstLine="640"/>
        <w:rPr>
          <w:rFonts w:ascii="仿宋" w:eastAsia="仿宋" w:hAnsi="仿宋" w:cs="仿宋"/>
          <w:color w:val="000000" w:themeColor="text1"/>
          <w:sz w:val="32"/>
        </w:rPr>
      </w:pPr>
      <w:r>
        <w:rPr>
          <w:rFonts w:ascii="Times New Roman" w:eastAsia="仿宋_GB2312" w:hAnsi="Times New Roman"/>
          <w:color w:val="000000" w:themeColor="text1"/>
          <w:sz w:val="32"/>
        </w:rPr>
        <w:t>企业名称：请填</w:t>
      </w:r>
      <w:r>
        <w:rPr>
          <w:rFonts w:ascii="仿宋" w:eastAsia="仿宋" w:hAnsi="仿宋" w:cs="仿宋" w:hint="eastAsia"/>
          <w:color w:val="000000" w:themeColor="text1"/>
          <w:sz w:val="32"/>
        </w:rPr>
        <w:t>写贵企业希望在评估结果上展现的名称，推荐使用集团名称。</w:t>
      </w:r>
    </w:p>
    <w:p w:rsidR="00654211" w:rsidRDefault="00654211" w:rsidP="00654211">
      <w:pPr>
        <w:numPr>
          <w:ilvl w:val="0"/>
          <w:numId w:val="1"/>
        </w:numPr>
        <w:spacing w:line="560" w:lineRule="exact"/>
        <w:ind w:firstLineChars="200" w:firstLine="640"/>
        <w:rPr>
          <w:rFonts w:ascii="仿宋" w:eastAsia="仿宋" w:hAnsi="仿宋" w:cs="仿宋"/>
          <w:color w:val="000000" w:themeColor="text1"/>
          <w:sz w:val="32"/>
        </w:rPr>
      </w:pPr>
      <w:r>
        <w:rPr>
          <w:rFonts w:ascii="仿宋" w:eastAsia="仿宋" w:hAnsi="仿宋" w:cs="仿宋" w:hint="eastAsia"/>
          <w:color w:val="000000" w:themeColor="text1"/>
          <w:sz w:val="32"/>
        </w:rPr>
        <w:t>企业性质：请从“国有”、“非国有”两种性质中选一项填写。国有是指国有及国有控股企业, 非国有是指其他企业。</w:t>
      </w:r>
    </w:p>
    <w:p w:rsidR="00654211" w:rsidRDefault="00654211" w:rsidP="00654211">
      <w:pPr>
        <w:numPr>
          <w:ilvl w:val="0"/>
          <w:numId w:val="1"/>
        </w:numPr>
        <w:spacing w:line="560" w:lineRule="exact"/>
        <w:ind w:firstLineChars="200" w:firstLine="640"/>
        <w:rPr>
          <w:rFonts w:ascii="仿宋" w:eastAsia="仿宋" w:hAnsi="仿宋" w:cs="仿宋"/>
          <w:color w:val="000000" w:themeColor="text1"/>
          <w:sz w:val="32"/>
        </w:rPr>
      </w:pPr>
      <w:r>
        <w:rPr>
          <w:rFonts w:ascii="仿宋" w:eastAsia="仿宋" w:hAnsi="仿宋" w:cs="仿宋" w:hint="eastAsia"/>
          <w:color w:val="000000" w:themeColor="text1"/>
          <w:sz w:val="32"/>
        </w:rPr>
        <w:t>上市地点：如企业股票已经上市挂牌交易，则请填写挂牌交易所；如股票尚未上市挂牌，则请填写“未上市”。</w:t>
      </w:r>
    </w:p>
    <w:p w:rsidR="00654211" w:rsidRDefault="00654211" w:rsidP="00654211">
      <w:pPr>
        <w:numPr>
          <w:ilvl w:val="0"/>
          <w:numId w:val="1"/>
        </w:numPr>
        <w:spacing w:line="560" w:lineRule="exact"/>
        <w:ind w:firstLineChars="200" w:firstLine="640"/>
        <w:rPr>
          <w:rFonts w:ascii="仿宋" w:eastAsia="仿宋" w:hAnsi="仿宋" w:cs="仿宋"/>
          <w:color w:val="000000" w:themeColor="text1"/>
          <w:sz w:val="32"/>
        </w:rPr>
      </w:pPr>
      <w:r>
        <w:rPr>
          <w:rFonts w:ascii="仿宋" w:eastAsia="仿宋" w:hAnsi="仿宋" w:cs="仿宋" w:hint="eastAsia"/>
          <w:color w:val="000000" w:themeColor="text1"/>
          <w:sz w:val="32"/>
        </w:rPr>
        <w:t>注册地址：请填写位于国内的主要实体的注册地址。请勿填写海外地址。</w:t>
      </w:r>
    </w:p>
    <w:p w:rsidR="00654211" w:rsidRDefault="00654211" w:rsidP="00654211">
      <w:pPr>
        <w:numPr>
          <w:ilvl w:val="0"/>
          <w:numId w:val="1"/>
        </w:numPr>
        <w:spacing w:line="560" w:lineRule="exact"/>
        <w:ind w:firstLineChars="200" w:firstLine="640"/>
        <w:rPr>
          <w:rFonts w:ascii="仿宋" w:eastAsia="仿宋" w:hAnsi="仿宋" w:cs="仿宋"/>
          <w:color w:val="000000" w:themeColor="text1"/>
          <w:sz w:val="32"/>
        </w:rPr>
      </w:pPr>
      <w:r>
        <w:rPr>
          <w:rFonts w:ascii="仿宋" w:eastAsia="仿宋" w:hAnsi="仿宋" w:cs="仿宋" w:hint="eastAsia"/>
          <w:color w:val="000000" w:themeColor="text1"/>
          <w:sz w:val="32"/>
        </w:rPr>
        <w:t>营业收入：包括企业的主营业务和其他业务收入、境内和境外的收入。不含营业外收入，不含增值税。</w:t>
      </w:r>
    </w:p>
    <w:p w:rsidR="00654211" w:rsidRDefault="00654211" w:rsidP="00654211">
      <w:pPr>
        <w:numPr>
          <w:ilvl w:val="0"/>
          <w:numId w:val="1"/>
        </w:numPr>
        <w:spacing w:line="560" w:lineRule="exact"/>
        <w:ind w:firstLineChars="200" w:firstLine="640"/>
        <w:rPr>
          <w:rFonts w:ascii="仿宋" w:eastAsia="仿宋" w:hAnsi="仿宋" w:cs="仿宋"/>
          <w:color w:val="000000" w:themeColor="text1"/>
          <w:sz w:val="32"/>
        </w:rPr>
      </w:pPr>
      <w:r>
        <w:rPr>
          <w:rFonts w:ascii="仿宋" w:eastAsia="仿宋" w:hAnsi="仿宋" w:cs="仿宋" w:hint="eastAsia"/>
          <w:color w:val="000000" w:themeColor="text1"/>
          <w:sz w:val="32"/>
          <w:szCs w:val="32"/>
        </w:rPr>
        <w:t>数据安全业务收入：企业通过开展数据安全业务实现的收入。具体包括且不限于通过销售数据库审计与防护、数据安全防护平台、安全数据库、数据防泄漏、数据备份与恢复、文档安全、数据脱敏、敏感数据发现与监控、数据分类分级、数据安全合</w:t>
      </w:r>
      <w:proofErr w:type="gramStart"/>
      <w:r>
        <w:rPr>
          <w:rFonts w:ascii="仿宋" w:eastAsia="仿宋" w:hAnsi="仿宋" w:cs="仿宋" w:hint="eastAsia"/>
          <w:color w:val="000000" w:themeColor="text1"/>
          <w:sz w:val="32"/>
          <w:szCs w:val="32"/>
        </w:rPr>
        <w:t>规</w:t>
      </w:r>
      <w:proofErr w:type="gramEnd"/>
      <w:r>
        <w:rPr>
          <w:rFonts w:ascii="仿宋" w:eastAsia="仿宋" w:hAnsi="仿宋" w:cs="仿宋" w:hint="eastAsia"/>
          <w:color w:val="000000" w:themeColor="text1"/>
          <w:sz w:val="32"/>
          <w:szCs w:val="32"/>
        </w:rPr>
        <w:t>检测、隐私计算、数据溯源、数据加解密、数据安全网关等能力产生的收入。</w:t>
      </w:r>
    </w:p>
    <w:p w:rsidR="00654211" w:rsidRDefault="00654211" w:rsidP="00654211">
      <w:pPr>
        <w:numPr>
          <w:ilvl w:val="0"/>
          <w:numId w:val="1"/>
        </w:numPr>
        <w:spacing w:line="560" w:lineRule="exact"/>
        <w:ind w:firstLineChars="200" w:firstLine="640"/>
        <w:rPr>
          <w:rFonts w:ascii="仿宋" w:eastAsia="仿宋" w:hAnsi="仿宋" w:cs="仿宋"/>
          <w:color w:val="000000" w:themeColor="text1"/>
          <w:sz w:val="32"/>
        </w:rPr>
      </w:pPr>
      <w:r>
        <w:rPr>
          <w:rFonts w:ascii="仿宋" w:eastAsia="仿宋" w:hAnsi="仿宋" w:cs="仿宋" w:hint="eastAsia"/>
          <w:color w:val="000000" w:themeColor="text1"/>
          <w:sz w:val="32"/>
        </w:rPr>
        <w:t>数据安全业务净利润：以数据安全业务的营业收入为基础，减去相关营业成本、营业税金及附加、销售费用、管理费用、财务费用、资产减值损失，加上公允价值变动收益（减去公允价值变动损失）和投资收益（减去投资损失），计算得到营业利润。</w:t>
      </w:r>
    </w:p>
    <w:p w:rsidR="00654211" w:rsidRDefault="00654211" w:rsidP="00654211">
      <w:pPr>
        <w:numPr>
          <w:ilvl w:val="0"/>
          <w:numId w:val="1"/>
        </w:numPr>
        <w:spacing w:line="560" w:lineRule="exact"/>
        <w:ind w:firstLineChars="200" w:firstLine="640"/>
        <w:rPr>
          <w:rFonts w:ascii="仿宋" w:eastAsia="仿宋" w:hAnsi="仿宋" w:cs="仿宋"/>
          <w:color w:val="000000" w:themeColor="text1"/>
          <w:sz w:val="32"/>
        </w:rPr>
      </w:pPr>
      <w:r>
        <w:rPr>
          <w:rFonts w:ascii="仿宋" w:eastAsia="仿宋" w:hAnsi="仿宋" w:cs="仿宋" w:hint="eastAsia"/>
          <w:color w:val="000000" w:themeColor="text1"/>
          <w:sz w:val="32"/>
        </w:rPr>
        <w:t>数据安全业务净利润：以数据安全业务利润总额为基础，减去对应所得税费用，计算出净利润（或净亏损）。</w:t>
      </w:r>
    </w:p>
    <w:p w:rsidR="00654211" w:rsidRDefault="00654211" w:rsidP="00654211">
      <w:pPr>
        <w:numPr>
          <w:ilvl w:val="0"/>
          <w:numId w:val="1"/>
        </w:numPr>
        <w:spacing w:line="560" w:lineRule="exact"/>
        <w:ind w:firstLineChars="200" w:firstLine="640"/>
        <w:rPr>
          <w:rFonts w:ascii="仿宋" w:eastAsia="仿宋" w:hAnsi="仿宋" w:cs="仿宋"/>
          <w:color w:val="000000" w:themeColor="text1"/>
          <w:sz w:val="32"/>
        </w:rPr>
      </w:pPr>
      <w:r>
        <w:rPr>
          <w:rFonts w:ascii="仿宋" w:eastAsia="仿宋" w:hAnsi="仿宋" w:cs="仿宋" w:hint="eastAsia"/>
          <w:color w:val="000000" w:themeColor="text1"/>
          <w:sz w:val="32"/>
        </w:rPr>
        <w:lastRenderedPageBreak/>
        <w:t>数据安全业务研发费用：指企业研究开发数据安全领域新产品、新业务、</w:t>
      </w:r>
      <w:r>
        <w:rPr>
          <w:rFonts w:ascii="仿宋" w:eastAsia="仿宋" w:hAnsi="仿宋" w:cs="仿宋"/>
          <w:color w:val="000000" w:themeColor="text1"/>
          <w:sz w:val="32"/>
        </w:rPr>
        <w:t xml:space="preserve"> </w:t>
      </w:r>
      <w:r>
        <w:rPr>
          <w:rFonts w:ascii="仿宋" w:eastAsia="仿宋" w:hAnsi="仿宋" w:cs="仿宋" w:hint="eastAsia"/>
          <w:color w:val="000000" w:themeColor="text1"/>
          <w:sz w:val="32"/>
        </w:rPr>
        <w:t>新技术所发生的各项费用，包括新产品设计费、原型系统开发设计、技术图书资料费、研究机构人员工资、研究设备折旧、技术研究有关的其他经费以及委托其他单位进行科研试制的费用。包括当年发生的，计入当期损益的研究阶段的支出，以及已经资本化的开发阶段的支出。</w:t>
      </w:r>
    </w:p>
    <w:p w:rsidR="00654211" w:rsidRDefault="00654211" w:rsidP="00654211">
      <w:pPr>
        <w:numPr>
          <w:ilvl w:val="0"/>
          <w:numId w:val="1"/>
        </w:numPr>
        <w:spacing w:line="560" w:lineRule="exact"/>
        <w:ind w:firstLineChars="200" w:firstLine="640"/>
        <w:rPr>
          <w:rFonts w:ascii="仿宋" w:eastAsia="仿宋" w:hAnsi="仿宋" w:cs="仿宋"/>
          <w:color w:val="000000" w:themeColor="text1"/>
          <w:sz w:val="32"/>
        </w:rPr>
      </w:pPr>
      <w:r>
        <w:rPr>
          <w:rFonts w:ascii="仿宋" w:eastAsia="仿宋" w:hAnsi="仿宋" w:cs="仿宋" w:hint="eastAsia"/>
          <w:color w:val="000000" w:themeColor="text1"/>
          <w:sz w:val="32"/>
        </w:rPr>
        <w:t>纳税总额：企业在在我国境内实际缴纳的所有税款合计金额。计算范围包括全部税种。</w:t>
      </w:r>
    </w:p>
    <w:p w:rsidR="00654211" w:rsidRDefault="00654211" w:rsidP="00654211">
      <w:pPr>
        <w:numPr>
          <w:ilvl w:val="0"/>
          <w:numId w:val="1"/>
        </w:numPr>
        <w:spacing w:line="560" w:lineRule="exact"/>
        <w:ind w:firstLineChars="200" w:firstLine="640"/>
        <w:rPr>
          <w:rFonts w:ascii="仿宋" w:eastAsia="仿宋" w:hAnsi="仿宋" w:cs="仿宋"/>
          <w:color w:val="000000" w:themeColor="text1"/>
          <w:sz w:val="32"/>
        </w:rPr>
      </w:pPr>
      <w:r>
        <w:rPr>
          <w:rFonts w:ascii="仿宋" w:eastAsia="仿宋" w:hAnsi="仿宋" w:cs="仿宋" w:hint="eastAsia"/>
          <w:color w:val="000000" w:themeColor="text1"/>
          <w:sz w:val="32"/>
        </w:rPr>
        <w:t>数据安全业务员工总数：涉及数据安全业务的年度平均从业人数（含合并财务报表合并范围中所有企业的人数之和）。</w:t>
      </w:r>
    </w:p>
    <w:p w:rsidR="00654211" w:rsidRDefault="00654211" w:rsidP="00654211">
      <w:pPr>
        <w:numPr>
          <w:ilvl w:val="0"/>
          <w:numId w:val="1"/>
        </w:numPr>
        <w:spacing w:line="560" w:lineRule="exact"/>
        <w:ind w:firstLineChars="200" w:firstLine="640"/>
        <w:rPr>
          <w:rFonts w:ascii="仿宋" w:eastAsia="仿宋" w:hAnsi="仿宋" w:cs="仿宋"/>
          <w:color w:val="000000" w:themeColor="text1"/>
          <w:sz w:val="32"/>
        </w:rPr>
      </w:pPr>
      <w:r>
        <w:rPr>
          <w:rFonts w:ascii="仿宋" w:eastAsia="仿宋" w:hAnsi="仿宋" w:cs="仿宋" w:hint="eastAsia"/>
          <w:color w:val="000000" w:themeColor="text1"/>
          <w:sz w:val="32"/>
        </w:rPr>
        <w:t>数据安全业务研发人数：涉及数据安全业务的年度平均主要从事研究和开发活动的从业人员数量（含合并财务报表合并范围中所有企业的研发人员人数之和）。</w:t>
      </w:r>
    </w:p>
    <w:p w:rsidR="00654211" w:rsidRDefault="00654211" w:rsidP="00654211">
      <w:pPr>
        <w:numPr>
          <w:ilvl w:val="0"/>
          <w:numId w:val="1"/>
        </w:numPr>
        <w:spacing w:line="560" w:lineRule="exact"/>
        <w:ind w:firstLineChars="200" w:firstLine="640"/>
        <w:rPr>
          <w:rFonts w:ascii="仿宋" w:eastAsia="仿宋" w:hAnsi="仿宋" w:cs="仿宋"/>
          <w:color w:val="000000" w:themeColor="text1"/>
          <w:sz w:val="32"/>
        </w:rPr>
      </w:pPr>
      <w:r>
        <w:rPr>
          <w:rFonts w:ascii="仿宋" w:eastAsia="仿宋" w:hAnsi="仿宋" w:cs="仿宋" w:hint="eastAsia"/>
          <w:color w:val="000000" w:themeColor="text1"/>
          <w:sz w:val="32"/>
        </w:rPr>
        <w:t>经营现金流量净额：企业通过经营活动产生的现金流入量和流出量的差额。</w:t>
      </w:r>
    </w:p>
    <w:p w:rsidR="00654211" w:rsidRDefault="00654211" w:rsidP="00654211">
      <w:pPr>
        <w:numPr>
          <w:ilvl w:val="0"/>
          <w:numId w:val="1"/>
        </w:numPr>
        <w:spacing w:line="560" w:lineRule="exact"/>
        <w:ind w:firstLineChars="200" w:firstLine="640"/>
        <w:rPr>
          <w:rFonts w:ascii="仿宋" w:eastAsia="仿宋" w:hAnsi="仿宋" w:cs="仿宋"/>
          <w:color w:val="000000" w:themeColor="text1"/>
          <w:sz w:val="32"/>
        </w:rPr>
      </w:pPr>
      <w:r>
        <w:rPr>
          <w:rFonts w:ascii="仿宋" w:eastAsia="仿宋" w:hAnsi="仿宋" w:cs="仿宋" w:hint="eastAsia"/>
          <w:color w:val="000000" w:themeColor="text1"/>
          <w:sz w:val="32"/>
        </w:rPr>
        <w:t>总负债金额：企业在周期内流动负债和非流动负债合计。</w:t>
      </w:r>
    </w:p>
    <w:p w:rsidR="00654211" w:rsidRDefault="00654211" w:rsidP="00654211">
      <w:pPr>
        <w:numPr>
          <w:ilvl w:val="0"/>
          <w:numId w:val="1"/>
        </w:numPr>
        <w:spacing w:line="560" w:lineRule="exact"/>
        <w:ind w:firstLineChars="200" w:firstLine="640"/>
        <w:rPr>
          <w:rFonts w:ascii="仿宋" w:eastAsia="仿宋" w:hAnsi="仿宋" w:cs="仿宋"/>
          <w:color w:val="000000" w:themeColor="text1"/>
          <w:sz w:val="32"/>
        </w:rPr>
      </w:pPr>
      <w:r>
        <w:rPr>
          <w:rFonts w:ascii="仿宋" w:eastAsia="仿宋" w:hAnsi="仿宋" w:cs="仿宋" w:hint="eastAsia"/>
          <w:color w:val="000000" w:themeColor="text1"/>
          <w:sz w:val="32"/>
        </w:rPr>
        <w:t>境外数据安全业务收入：来自中国境外的，通过数据安全业务实现的收入。</w:t>
      </w:r>
    </w:p>
    <w:p w:rsidR="00654211" w:rsidRDefault="00654211" w:rsidP="00654211">
      <w:pPr>
        <w:numPr>
          <w:ilvl w:val="0"/>
          <w:numId w:val="1"/>
        </w:numPr>
        <w:spacing w:line="560" w:lineRule="exact"/>
        <w:ind w:firstLineChars="200" w:firstLine="640"/>
        <w:rPr>
          <w:rFonts w:ascii="仿宋" w:eastAsia="仿宋" w:hAnsi="仿宋" w:cs="仿宋"/>
          <w:color w:val="000000" w:themeColor="text1"/>
          <w:sz w:val="32"/>
        </w:rPr>
      </w:pPr>
      <w:r>
        <w:rPr>
          <w:rFonts w:ascii="仿宋" w:eastAsia="仿宋" w:hAnsi="仿宋" w:cs="仿宋" w:hint="eastAsia"/>
          <w:color w:val="000000" w:themeColor="text1"/>
          <w:sz w:val="32"/>
        </w:rPr>
        <w:t>行业贡献：展现2021年度企业在社会中的突出贡献，领域包含且不限于在国家级、省部级单位平台进行的漏洞共享数量，参加的国家级、省部级重保活动等。</w:t>
      </w:r>
    </w:p>
    <w:p w:rsidR="00654211" w:rsidRDefault="00654211" w:rsidP="00654211">
      <w:pPr>
        <w:numPr>
          <w:ilvl w:val="0"/>
          <w:numId w:val="1"/>
        </w:numPr>
        <w:spacing w:line="560" w:lineRule="exact"/>
        <w:ind w:firstLineChars="200" w:firstLine="640"/>
        <w:rPr>
          <w:rFonts w:ascii="仿宋" w:eastAsia="仿宋" w:hAnsi="仿宋" w:cs="仿宋"/>
          <w:color w:val="000000" w:themeColor="text1"/>
          <w:sz w:val="32"/>
        </w:rPr>
      </w:pPr>
      <w:r>
        <w:rPr>
          <w:rFonts w:ascii="仿宋" w:eastAsia="仿宋" w:hAnsi="仿宋" w:cs="仿宋" w:hint="eastAsia"/>
          <w:color w:val="000000" w:themeColor="text1"/>
          <w:sz w:val="32"/>
        </w:rPr>
        <w:t>行政处罚：指行政机关或其他行政主体依法定职权和程序对违反行政法规尚未构成犯罪的相对人给予行政制裁的具体行政行为</w:t>
      </w:r>
    </w:p>
    <w:p w:rsidR="00654211" w:rsidRDefault="00654211" w:rsidP="00654211">
      <w:pPr>
        <w:numPr>
          <w:ilvl w:val="0"/>
          <w:numId w:val="1"/>
        </w:numPr>
        <w:spacing w:line="560" w:lineRule="exact"/>
        <w:ind w:firstLineChars="200" w:firstLine="640"/>
        <w:rPr>
          <w:rFonts w:ascii="仿宋" w:eastAsia="仿宋" w:hAnsi="仿宋" w:cs="仿宋"/>
          <w:color w:val="000000" w:themeColor="text1"/>
          <w:sz w:val="32"/>
        </w:rPr>
      </w:pPr>
      <w:r>
        <w:rPr>
          <w:rFonts w:ascii="仿宋" w:eastAsia="仿宋" w:hAnsi="仿宋" w:cs="仿宋" w:hint="eastAsia"/>
          <w:color w:val="000000" w:themeColor="text1"/>
          <w:sz w:val="32"/>
        </w:rPr>
        <w:t>企业客户数：指在2021年内，与填报企业签订涉及数据安全业务的合同（或处于合同存续期内），并与填报企业正常开展业务的企业客户数。企业用户指在工商注册的企业级单位，不包含商户或个人。单位为“个”。</w:t>
      </w:r>
    </w:p>
    <w:p w:rsidR="00654211" w:rsidRDefault="00654211" w:rsidP="00654211">
      <w:pPr>
        <w:numPr>
          <w:ilvl w:val="0"/>
          <w:numId w:val="1"/>
        </w:numPr>
        <w:spacing w:line="560" w:lineRule="exact"/>
        <w:ind w:firstLineChars="200" w:firstLine="640"/>
        <w:rPr>
          <w:rFonts w:ascii="仿宋" w:eastAsia="仿宋" w:hAnsi="仿宋" w:cs="仿宋"/>
          <w:color w:val="000000" w:themeColor="text1"/>
          <w:sz w:val="32"/>
        </w:rPr>
      </w:pPr>
      <w:r>
        <w:rPr>
          <w:rFonts w:ascii="仿宋" w:eastAsia="仿宋" w:hAnsi="仿宋" w:cs="仿宋" w:hint="eastAsia"/>
          <w:color w:val="000000" w:themeColor="text1"/>
          <w:sz w:val="32"/>
        </w:rPr>
        <w:lastRenderedPageBreak/>
        <w:t>发明专利权（项）：截至2021年底，企业持有的由我国或外国专利主管机关授予的，尚处于在法定保护期限内的发明专利权数量。</w:t>
      </w:r>
    </w:p>
    <w:p w:rsidR="00654211" w:rsidRDefault="00654211" w:rsidP="00654211">
      <w:pPr>
        <w:numPr>
          <w:ilvl w:val="0"/>
          <w:numId w:val="1"/>
        </w:numPr>
        <w:spacing w:line="560" w:lineRule="exact"/>
        <w:ind w:firstLineChars="200" w:firstLine="640"/>
        <w:rPr>
          <w:rFonts w:ascii="仿宋" w:eastAsia="仿宋" w:hAnsi="仿宋" w:cs="仿宋"/>
          <w:color w:val="000000" w:themeColor="text1"/>
          <w:sz w:val="32"/>
        </w:rPr>
      </w:pPr>
      <w:r>
        <w:rPr>
          <w:rFonts w:ascii="仿宋" w:eastAsia="仿宋" w:hAnsi="仿宋" w:cs="仿宋" w:hint="eastAsia"/>
          <w:color w:val="000000" w:themeColor="text1"/>
          <w:sz w:val="32"/>
        </w:rPr>
        <w:t>主要产品及服务名称：“产品、服务或品牌”指数据安全能力提供企业提供的主要产品或服务，以及推广的主要业务品牌。填报时按在营业收入的占比由大到小排列。</w:t>
      </w:r>
      <w:r>
        <w:rPr>
          <w:rFonts w:ascii="仿宋" w:eastAsia="仿宋" w:hAnsi="仿宋" w:cs="仿宋"/>
          <w:color w:val="000000" w:themeColor="text1"/>
          <w:sz w:val="32"/>
        </w:rPr>
        <w:t xml:space="preserve"> </w:t>
      </w:r>
      <w:r>
        <w:rPr>
          <w:rFonts w:ascii="仿宋" w:eastAsia="仿宋" w:hAnsi="仿宋" w:cs="仿宋" w:hint="eastAsia"/>
          <w:color w:val="000000" w:themeColor="text1"/>
          <w:sz w:val="32"/>
        </w:rPr>
        <w:t>“简介”请简要填写该产品的主要功能、特点等内容。</w:t>
      </w:r>
    </w:p>
    <w:p w:rsidR="00654211" w:rsidRDefault="00654211" w:rsidP="00654211">
      <w:pPr>
        <w:numPr>
          <w:ilvl w:val="0"/>
          <w:numId w:val="1"/>
        </w:numPr>
        <w:spacing w:line="560" w:lineRule="exact"/>
        <w:ind w:firstLineChars="200" w:firstLine="640"/>
        <w:rPr>
          <w:rFonts w:ascii="仿宋" w:eastAsia="仿宋" w:hAnsi="仿宋" w:cs="仿宋"/>
          <w:color w:val="000000" w:themeColor="text1"/>
          <w:sz w:val="32"/>
        </w:rPr>
      </w:pPr>
      <w:r>
        <w:rPr>
          <w:rFonts w:ascii="仿宋" w:eastAsia="仿宋" w:hAnsi="仿宋" w:cs="仿宋" w:hint="eastAsia"/>
          <w:color w:val="000000" w:themeColor="text1"/>
          <w:sz w:val="32"/>
        </w:rPr>
        <w:t>实际控制人：指虽不一定是公司的股东，但通过投资关系、协议或者其他安排，能够实际支配公司行为的人。简而言之，实际控制人就是实际控制公司的自然人、法人或其他组织。</w:t>
      </w:r>
    </w:p>
    <w:p w:rsidR="00654211" w:rsidRDefault="00654211" w:rsidP="00654211">
      <w:pPr>
        <w:numPr>
          <w:ilvl w:val="0"/>
          <w:numId w:val="1"/>
        </w:numPr>
        <w:spacing w:line="560" w:lineRule="exact"/>
        <w:ind w:firstLineChars="200" w:firstLine="640"/>
        <w:rPr>
          <w:rFonts w:ascii="仿宋" w:eastAsia="仿宋" w:hAnsi="仿宋" w:cs="仿宋"/>
          <w:color w:val="000000" w:themeColor="text1"/>
          <w:sz w:val="32"/>
        </w:rPr>
      </w:pPr>
      <w:r>
        <w:rPr>
          <w:rFonts w:ascii="仿宋" w:eastAsia="仿宋" w:hAnsi="仿宋" w:cs="仿宋" w:hint="eastAsia"/>
          <w:color w:val="000000" w:themeColor="text1"/>
          <w:sz w:val="32"/>
        </w:rPr>
        <w:t>估值：指未上市公司的投资方评估的该公司市场价值，以融资完成后的公开披露或具有投资方认证的信息为准（应附上出处或证明）。填报时间与相关融资轮次时间保持一致，历史估值尽量全面。无估值信息的公司，可填报与自己业务可比的公司名称（优先填报上市公司）。</w:t>
      </w:r>
    </w:p>
    <w:p w:rsidR="00654211" w:rsidRDefault="00654211" w:rsidP="00654211">
      <w:pPr>
        <w:numPr>
          <w:ilvl w:val="0"/>
          <w:numId w:val="1"/>
        </w:numPr>
        <w:spacing w:line="560" w:lineRule="exact"/>
        <w:ind w:firstLineChars="200" w:firstLine="640"/>
        <w:rPr>
          <w:rFonts w:ascii="仿宋" w:eastAsia="仿宋" w:hAnsi="仿宋" w:cs="仿宋"/>
          <w:color w:val="000000" w:themeColor="text1"/>
          <w:sz w:val="32"/>
        </w:rPr>
      </w:pPr>
      <w:r>
        <w:rPr>
          <w:rFonts w:ascii="仿宋" w:eastAsia="仿宋" w:hAnsi="仿宋" w:cs="仿宋" w:hint="eastAsia"/>
          <w:color w:val="000000" w:themeColor="text1"/>
          <w:sz w:val="32"/>
        </w:rPr>
        <w:t>市值：指上市公司的发行股份按市场价格计算出来的股票总价值，为每股股票的市场价格乘以发行总股数。多地上市的企业按其最初上市</w:t>
      </w:r>
      <w:proofErr w:type="gramStart"/>
      <w:r>
        <w:rPr>
          <w:rFonts w:ascii="仿宋" w:eastAsia="仿宋" w:hAnsi="仿宋" w:cs="仿宋" w:hint="eastAsia"/>
          <w:color w:val="000000" w:themeColor="text1"/>
          <w:sz w:val="32"/>
        </w:rPr>
        <w:t>地行情</w:t>
      </w:r>
      <w:proofErr w:type="gramEnd"/>
      <w:r>
        <w:rPr>
          <w:rFonts w:ascii="仿宋" w:eastAsia="仿宋" w:hAnsi="仿宋" w:cs="仿宋" w:hint="eastAsia"/>
          <w:color w:val="000000" w:themeColor="text1"/>
          <w:sz w:val="32"/>
        </w:rPr>
        <w:t>计算。填报时间为自然年度最后交易截止日收盘价计算的市值。填报数量最少两个、最多五个，不足两个的（近两年完成首次公开募股的公司）需补充以上市首发日收盘价计算的市值。</w:t>
      </w:r>
    </w:p>
    <w:p w:rsidR="00654211" w:rsidRDefault="00654211" w:rsidP="00654211">
      <w:pPr>
        <w:pStyle w:val="BodyText1I2"/>
        <w:ind w:firstLineChars="200" w:firstLine="640"/>
        <w:rPr>
          <w:rFonts w:ascii="仿宋" w:eastAsia="仿宋" w:hAnsi="仿宋" w:cs="仿宋"/>
          <w:sz w:val="32"/>
        </w:rPr>
      </w:pPr>
    </w:p>
    <w:p w:rsidR="008C61CE" w:rsidRPr="00654211" w:rsidRDefault="008C61CE"/>
    <w:sectPr w:rsidR="008C61CE" w:rsidRPr="00654211" w:rsidSect="00A20078">
      <w:pgSz w:w="11906" w:h="16838"/>
      <w:pgMar w:top="1134" w:right="567" w:bottom="1134" w:left="1134" w:header="851" w:footer="992" w:gutter="0"/>
      <w:cols w:space="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32943BE"/>
    <w:multiLevelType w:val="singleLevel"/>
    <w:tmpl w:val="732943BE"/>
    <w:lvl w:ilvl="0">
      <w:start w:val="1"/>
      <w:numFmt w:val="chineseCounting"/>
      <w:suff w:val="nothing"/>
      <w:lvlText w:val="%1、"/>
      <w:lvlJc w:val="left"/>
      <w:pPr>
        <w:ind w:left="0" w:firstLine="420"/>
      </w:pPr>
      <w:rPr>
        <w:u w:val="none"/>
      </w:rPr>
    </w:lvl>
  </w:abstractNum>
  <w:num w:numId="1">
    <w:abstractNumId w:val="0"/>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654211"/>
    <w:rsid w:val="004F520A"/>
    <w:rsid w:val="00654211"/>
    <w:rsid w:val="008C61C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BodyText1I2"/>
    <w:qFormat/>
    <w:rsid w:val="00654211"/>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odyText1I2">
    <w:name w:val="BodyText1I2"/>
    <w:basedOn w:val="a"/>
    <w:qFormat/>
    <w:rsid w:val="00654211"/>
    <w:pPr>
      <w:spacing w:after="120"/>
      <w:ind w:leftChars="200" w:left="420" w:firstLine="420"/>
    </w:pPr>
  </w:style>
  <w:style w:type="character" w:customStyle="1" w:styleId="longtext1">
    <w:name w:val="long_text1"/>
    <w:qFormat/>
    <w:rsid w:val="00654211"/>
    <w:rPr>
      <w:sz w:val="13"/>
      <w:szCs w:val="13"/>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254</Words>
  <Characters>1452</Characters>
  <Application>Microsoft Office Word</Application>
  <DocSecurity>0</DocSecurity>
  <Lines>12</Lines>
  <Paragraphs>3</Paragraphs>
  <ScaleCrop>false</ScaleCrop>
  <Company>Lenovo</Company>
  <LinksUpToDate>false</LinksUpToDate>
  <CharactersWithSpaces>1703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董畅[dc]</dc:creator>
  <cp:lastModifiedBy>董畅[dc]</cp:lastModifiedBy>
  <cp:revision>1</cp:revision>
  <dcterms:created xsi:type="dcterms:W3CDTF">2022-04-20T10:23:00Z</dcterms:created>
  <dcterms:modified xsi:type="dcterms:W3CDTF">2022-04-20T10:23:00Z</dcterms:modified>
</cp:coreProperties>
</file>